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9C" w:rsidRDefault="00DD3B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Kreisverwaltung Mayen-Koblenz</w:t>
      </w:r>
    </w:p>
    <w:p w:rsidR="00DD3B9C" w:rsidRDefault="00DD3B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  <w:u w:val="single"/>
        </w:rPr>
        <w:t xml:space="preserve">   - Untere Wasserbehörde -  </w:t>
      </w:r>
    </w:p>
    <w:p w:rsidR="00DD3B9C" w:rsidRDefault="00DD3B9C" w:rsidP="007859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before="240" w:after="240"/>
        <w:jc w:val="center"/>
        <w:rPr>
          <w:rFonts w:ascii="Arial" w:hAnsi="Arial"/>
          <w:snapToGrid w:val="0"/>
          <w:sz w:val="22"/>
        </w:rPr>
      </w:pPr>
      <w:r w:rsidRPr="007F1C07">
        <w:rPr>
          <w:rFonts w:ascii="Arial" w:hAnsi="Arial"/>
          <w:b/>
          <w:snapToGrid w:val="0"/>
          <w:sz w:val="24"/>
          <w:szCs w:val="24"/>
          <w:u w:val="single"/>
        </w:rPr>
        <w:t xml:space="preserve">M e r k b l a t </w:t>
      </w:r>
      <w:proofErr w:type="spellStart"/>
      <w:r w:rsidRPr="007F1C07">
        <w:rPr>
          <w:rFonts w:ascii="Arial" w:hAnsi="Arial"/>
          <w:b/>
          <w:snapToGrid w:val="0"/>
          <w:sz w:val="24"/>
          <w:szCs w:val="24"/>
          <w:u w:val="single"/>
        </w:rPr>
        <w:t>t</w:t>
      </w:r>
      <w:proofErr w:type="spellEnd"/>
    </w:p>
    <w:p w:rsidR="00DD3B9C" w:rsidRDefault="00DD3B9C">
      <w:pPr>
        <w:pStyle w:val="Textkrper"/>
      </w:pPr>
      <w:r>
        <w:t>Erforderliche Unterlagen für die wasserrechtliche Anzeige (§</w:t>
      </w:r>
      <w:r w:rsidR="00E87484">
        <w:t xml:space="preserve"> </w:t>
      </w:r>
      <w:r>
        <w:t>4</w:t>
      </w:r>
      <w:r w:rsidR="00050306">
        <w:t>6 Wasserhaushaltsgesetz –WHG</w:t>
      </w:r>
      <w:r w:rsidR="00050306">
        <w:noBreakHyphen/>
      </w:r>
      <w:r>
        <w:t>) zur Grundwasserentnahme</w:t>
      </w:r>
    </w:p>
    <w:p w:rsidR="00DD3B9C" w:rsidRDefault="00DD3B9C" w:rsidP="000E76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24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  <w:u w:val="single"/>
        </w:rPr>
        <w:t>Antragsunterlagen gelten auch für eine erlaubnispflichtige Grundwasserentnahme</w:t>
      </w:r>
    </w:p>
    <w:p w:rsidR="00DD3B9C" w:rsidRDefault="00DD3B9C" w:rsidP="000E76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ind w:left="720" w:hanging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1.</w:t>
      </w:r>
      <w:r>
        <w:rPr>
          <w:rFonts w:ascii="Arial" w:hAnsi="Arial"/>
          <w:snapToGrid w:val="0"/>
          <w:sz w:val="22"/>
        </w:rPr>
        <w:tab/>
      </w:r>
      <w:r w:rsidRPr="004E0C12">
        <w:rPr>
          <w:rFonts w:ascii="Arial" w:hAnsi="Arial"/>
          <w:b/>
          <w:snapToGrid w:val="0"/>
          <w:sz w:val="22"/>
        </w:rPr>
        <w:t>Formloser Antrag</w:t>
      </w:r>
      <w:r>
        <w:rPr>
          <w:rFonts w:ascii="Arial" w:hAnsi="Arial"/>
          <w:snapToGrid w:val="0"/>
          <w:sz w:val="22"/>
        </w:rPr>
        <w:t xml:space="preserve"> </w:t>
      </w:r>
    </w:p>
    <w:p w:rsidR="00DD3B9C" w:rsidRDefault="00DD3B9C" w:rsidP="00E96A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Wo soll die Grundwasserentnahme erfolge</w:t>
      </w:r>
      <w:r w:rsidR="003A76D9">
        <w:rPr>
          <w:rFonts w:ascii="Arial" w:hAnsi="Arial"/>
          <w:snapToGrid w:val="0"/>
          <w:sz w:val="22"/>
        </w:rPr>
        <w:t>n (Gemarkung, Flur, Flurstück)</w:t>
      </w:r>
      <w:r>
        <w:rPr>
          <w:rFonts w:ascii="Arial" w:hAnsi="Arial"/>
          <w:snapToGrid w:val="0"/>
          <w:sz w:val="22"/>
        </w:rPr>
        <w:t xml:space="preserve"> </w:t>
      </w:r>
    </w:p>
    <w:p w:rsidR="00DD3B9C" w:rsidRDefault="00DD3B9C" w:rsidP="000E76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24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Beantragte Wasserentnahme, Fördermenge (cbm/Tag)</w:t>
      </w:r>
    </w:p>
    <w:p w:rsidR="00DD3B9C" w:rsidRDefault="00DD3B9C" w:rsidP="000E76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ind w:left="720" w:hanging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2.</w:t>
      </w:r>
      <w:r>
        <w:rPr>
          <w:rFonts w:ascii="Arial" w:hAnsi="Arial"/>
          <w:snapToGrid w:val="0"/>
          <w:sz w:val="22"/>
        </w:rPr>
        <w:tab/>
      </w:r>
      <w:r w:rsidRPr="004E0C12">
        <w:rPr>
          <w:rFonts w:ascii="Arial" w:hAnsi="Arial"/>
          <w:b/>
          <w:snapToGrid w:val="0"/>
          <w:sz w:val="22"/>
        </w:rPr>
        <w:t>Erläuterungsbericht</w:t>
      </w:r>
      <w:r w:rsidR="003A76D9" w:rsidRPr="004E0C12">
        <w:rPr>
          <w:rFonts w:ascii="Arial" w:hAnsi="Arial"/>
          <w:b/>
          <w:snapToGrid w:val="0"/>
          <w:sz w:val="22"/>
        </w:rPr>
        <w:t xml:space="preserve"> und Planunterlagen</w:t>
      </w:r>
      <w:r>
        <w:rPr>
          <w:rFonts w:ascii="Arial" w:hAnsi="Arial"/>
          <w:snapToGrid w:val="0"/>
          <w:sz w:val="22"/>
        </w:rPr>
        <w:t xml:space="preserve"> </w:t>
      </w:r>
    </w:p>
    <w:p w:rsidR="007C3BCA" w:rsidRDefault="00DD3B9C" w:rsidP="00E96A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ind w:left="72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Hierzu gehören alle Merkmale, die zur wasserwirtschaftlichen Beurteilung des Vorh</w:t>
      </w:r>
      <w:r>
        <w:rPr>
          <w:rFonts w:ascii="Arial" w:hAnsi="Arial"/>
          <w:snapToGrid w:val="0"/>
          <w:sz w:val="22"/>
        </w:rPr>
        <w:t>a</w:t>
      </w:r>
      <w:r>
        <w:rPr>
          <w:rFonts w:ascii="Arial" w:hAnsi="Arial"/>
          <w:snapToGrid w:val="0"/>
          <w:sz w:val="22"/>
        </w:rPr>
        <w:t xml:space="preserve">bens erforderlich sind wie u.a.: </w:t>
      </w:r>
    </w:p>
    <w:p w:rsidR="003A76D9" w:rsidRDefault="003A76D9" w:rsidP="00E96A50">
      <w:pPr>
        <w:widowControl w:val="0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Übersichtskarte (Maßstab 1 : 10.000) </w:t>
      </w:r>
      <w:r w:rsidR="00050306">
        <w:rPr>
          <w:rFonts w:ascii="Arial" w:hAnsi="Arial"/>
          <w:snapToGrid w:val="0"/>
          <w:sz w:val="22"/>
        </w:rPr>
        <w:t>und k</w:t>
      </w:r>
      <w:r>
        <w:rPr>
          <w:rFonts w:ascii="Arial" w:hAnsi="Arial"/>
          <w:snapToGrid w:val="0"/>
          <w:sz w:val="22"/>
        </w:rPr>
        <w:t>atasteramtlicher Lageplan mit Eige</w:t>
      </w:r>
      <w:r>
        <w:rPr>
          <w:rFonts w:ascii="Arial" w:hAnsi="Arial"/>
          <w:snapToGrid w:val="0"/>
          <w:sz w:val="22"/>
        </w:rPr>
        <w:t>n</w:t>
      </w:r>
      <w:r>
        <w:rPr>
          <w:rFonts w:ascii="Arial" w:hAnsi="Arial"/>
          <w:snapToGrid w:val="0"/>
          <w:sz w:val="22"/>
        </w:rPr>
        <w:t>tümerverzeichnis</w:t>
      </w:r>
      <w:r w:rsidR="00050306">
        <w:rPr>
          <w:rFonts w:ascii="Arial" w:hAnsi="Arial"/>
          <w:snapToGrid w:val="0"/>
          <w:sz w:val="22"/>
        </w:rPr>
        <w:t>, jeweils</w:t>
      </w:r>
      <w:r>
        <w:rPr>
          <w:rFonts w:ascii="Arial" w:hAnsi="Arial"/>
          <w:snapToGrid w:val="0"/>
          <w:sz w:val="22"/>
        </w:rPr>
        <w:t xml:space="preserve"> mit farbiger</w:t>
      </w:r>
      <w:r w:rsidR="00E96A50">
        <w:rPr>
          <w:rFonts w:ascii="Arial" w:hAnsi="Arial"/>
          <w:snapToGrid w:val="0"/>
          <w:sz w:val="22"/>
        </w:rPr>
        <w:t xml:space="preserve"> Eintragung der Entnahmestelle.</w:t>
      </w:r>
    </w:p>
    <w:p w:rsidR="007C3BCA" w:rsidRDefault="007C3BCA" w:rsidP="00E96A50">
      <w:pPr>
        <w:widowControl w:val="0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Nachweis des Bedarfs zur Begründung der begehrten Entnahmemenge</w:t>
      </w:r>
    </w:p>
    <w:p w:rsidR="003A76D9" w:rsidRDefault="00DD3B9C" w:rsidP="00E96A50">
      <w:pPr>
        <w:widowControl w:val="0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Beschreibung des Brunnens mit Brunnenko</w:t>
      </w:r>
      <w:r w:rsidR="00822940">
        <w:rPr>
          <w:rFonts w:ascii="Arial" w:hAnsi="Arial"/>
          <w:snapToGrid w:val="0"/>
          <w:sz w:val="22"/>
        </w:rPr>
        <w:t>pf einschließlich Installation</w:t>
      </w:r>
      <w:r w:rsidR="003A76D9">
        <w:rPr>
          <w:rFonts w:ascii="Arial" w:hAnsi="Arial"/>
          <w:snapToGrid w:val="0"/>
          <w:sz w:val="22"/>
        </w:rPr>
        <w:t xml:space="preserve"> in Grun</w:t>
      </w:r>
      <w:r w:rsidR="003A76D9">
        <w:rPr>
          <w:rFonts w:ascii="Arial" w:hAnsi="Arial"/>
          <w:snapToGrid w:val="0"/>
          <w:sz w:val="22"/>
        </w:rPr>
        <w:t>d</w:t>
      </w:r>
      <w:r w:rsidR="003A76D9">
        <w:rPr>
          <w:rFonts w:ascii="Arial" w:hAnsi="Arial"/>
          <w:snapToGrid w:val="0"/>
          <w:sz w:val="22"/>
        </w:rPr>
        <w:t>riss und Schnitten, der oberen Abdichtung, des Brunnenausbaus mit Lage der</w:t>
      </w:r>
      <w:r w:rsidR="00366F59">
        <w:rPr>
          <w:rFonts w:ascii="Arial" w:hAnsi="Arial"/>
          <w:snapToGrid w:val="0"/>
          <w:sz w:val="22"/>
        </w:rPr>
        <w:t xml:space="preserve"> Verfilterung (Ausbauzeichnung)</w:t>
      </w:r>
    </w:p>
    <w:p w:rsidR="007C3BCA" w:rsidRDefault="00DD3B9C" w:rsidP="00E96A50">
      <w:pPr>
        <w:widowControl w:val="0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Beschreibung der Pumpe (Tec</w:t>
      </w:r>
      <w:r w:rsidR="00822940">
        <w:rPr>
          <w:rFonts w:ascii="Arial" w:hAnsi="Arial"/>
          <w:snapToGrid w:val="0"/>
          <w:sz w:val="22"/>
        </w:rPr>
        <w:t>hnische Daten, Pumpenleistung)</w:t>
      </w:r>
    </w:p>
    <w:p w:rsidR="00077FF7" w:rsidRDefault="00DD3B9C" w:rsidP="00E96A50">
      <w:pPr>
        <w:widowControl w:val="0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voraussichtliche Brunnentiefe und </w:t>
      </w:r>
      <w:r w:rsidR="00077FF7">
        <w:rPr>
          <w:rFonts w:ascii="Arial" w:hAnsi="Arial"/>
          <w:snapToGrid w:val="0"/>
          <w:sz w:val="22"/>
        </w:rPr>
        <w:t xml:space="preserve">erwarteter </w:t>
      </w:r>
      <w:r w:rsidR="00822940">
        <w:rPr>
          <w:rFonts w:ascii="Arial" w:hAnsi="Arial"/>
          <w:snapToGrid w:val="0"/>
          <w:sz w:val="22"/>
        </w:rPr>
        <w:t>Grundwasserstand</w:t>
      </w:r>
    </w:p>
    <w:p w:rsidR="00077FF7" w:rsidRDefault="00822940" w:rsidP="00E96A50">
      <w:pPr>
        <w:widowControl w:val="0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</w:t>
      </w:r>
      <w:r w:rsidR="00077FF7">
        <w:rPr>
          <w:rFonts w:ascii="Arial" w:hAnsi="Arial"/>
          <w:snapToGrid w:val="0"/>
          <w:sz w:val="22"/>
        </w:rPr>
        <w:t>ei Einsatz eines großen technischen Bohrgeräts</w:t>
      </w:r>
      <w:r>
        <w:rPr>
          <w:rFonts w:ascii="Arial" w:hAnsi="Arial"/>
          <w:snapToGrid w:val="0"/>
          <w:sz w:val="22"/>
        </w:rPr>
        <w:t>:</w:t>
      </w:r>
      <w:r w:rsidR="00077FF7">
        <w:rPr>
          <w:rFonts w:ascii="Arial" w:hAnsi="Arial"/>
          <w:snapToGrid w:val="0"/>
          <w:sz w:val="22"/>
        </w:rPr>
        <w:t xml:space="preserve"> Nachweis über die Qualifizi</w:t>
      </w:r>
      <w:r w:rsidR="00077FF7">
        <w:rPr>
          <w:rFonts w:ascii="Arial" w:hAnsi="Arial"/>
          <w:snapToGrid w:val="0"/>
          <w:sz w:val="22"/>
        </w:rPr>
        <w:t>e</w:t>
      </w:r>
      <w:r w:rsidR="00366F59">
        <w:rPr>
          <w:rFonts w:ascii="Arial" w:hAnsi="Arial"/>
          <w:snapToGrid w:val="0"/>
          <w:sz w:val="22"/>
        </w:rPr>
        <w:t>rung des Bohrunternehmens und</w:t>
      </w:r>
      <w:r w:rsidR="00077FF7">
        <w:rPr>
          <w:rFonts w:ascii="Arial" w:hAnsi="Arial"/>
          <w:snapToGrid w:val="0"/>
          <w:sz w:val="22"/>
        </w:rPr>
        <w:t xml:space="preserve"> nach der Bohrung Vorlage eines normgerecht erstellten Schichtenverzeichnisses</w:t>
      </w:r>
    </w:p>
    <w:p w:rsidR="00077FF7" w:rsidRDefault="00E44CB7" w:rsidP="00E96A50">
      <w:pPr>
        <w:widowControl w:val="0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(grafische) Darstellung von Pumpversuchsdaten und Beschreibung von vorau</w:t>
      </w:r>
      <w:r>
        <w:rPr>
          <w:rFonts w:ascii="Arial" w:hAnsi="Arial"/>
          <w:snapToGrid w:val="0"/>
          <w:sz w:val="22"/>
        </w:rPr>
        <w:t>s</w:t>
      </w:r>
      <w:r>
        <w:rPr>
          <w:rFonts w:ascii="Arial" w:hAnsi="Arial"/>
          <w:snapToGrid w:val="0"/>
          <w:sz w:val="22"/>
        </w:rPr>
        <w:t>sichtlichen Einwirkungen der Entnahme auf das Grundwasser oder oberirdische Gewässer bzw. Rechte Dritter und Angaben über vorgesehene schadensverh</w:t>
      </w:r>
      <w:r>
        <w:rPr>
          <w:rFonts w:ascii="Arial" w:hAnsi="Arial"/>
          <w:snapToGrid w:val="0"/>
          <w:sz w:val="22"/>
        </w:rPr>
        <w:t>ü</w:t>
      </w:r>
      <w:r>
        <w:rPr>
          <w:rFonts w:ascii="Arial" w:hAnsi="Arial"/>
          <w:snapToGrid w:val="0"/>
          <w:sz w:val="22"/>
        </w:rPr>
        <w:t>tende Maßnah</w:t>
      </w:r>
      <w:r w:rsidR="00C44283">
        <w:rPr>
          <w:rFonts w:ascii="Arial" w:hAnsi="Arial"/>
          <w:snapToGrid w:val="0"/>
          <w:sz w:val="22"/>
        </w:rPr>
        <w:t>men</w:t>
      </w:r>
      <w:r w:rsidR="00050306">
        <w:rPr>
          <w:rFonts w:ascii="Arial" w:hAnsi="Arial"/>
          <w:snapToGrid w:val="0"/>
          <w:sz w:val="22"/>
        </w:rPr>
        <w:t xml:space="preserve"> (nicht erforderlich, wenn</w:t>
      </w:r>
      <w:r>
        <w:rPr>
          <w:rFonts w:ascii="Arial" w:hAnsi="Arial"/>
          <w:snapToGrid w:val="0"/>
          <w:sz w:val="22"/>
        </w:rPr>
        <w:t xml:space="preserve"> </w:t>
      </w:r>
      <w:r w:rsidR="00C44283">
        <w:rPr>
          <w:rFonts w:ascii="Arial" w:hAnsi="Arial"/>
          <w:snapToGrid w:val="0"/>
          <w:sz w:val="22"/>
        </w:rPr>
        <w:t>Entnahmemenge</w:t>
      </w:r>
      <w:r w:rsidR="00077FF7">
        <w:rPr>
          <w:rFonts w:ascii="Arial" w:hAnsi="Arial"/>
          <w:snapToGrid w:val="0"/>
          <w:sz w:val="22"/>
        </w:rPr>
        <w:t xml:space="preserve"> </w:t>
      </w:r>
      <w:r w:rsidR="00C44283">
        <w:rPr>
          <w:rFonts w:ascii="Arial" w:hAnsi="Arial"/>
          <w:snapToGrid w:val="0"/>
          <w:sz w:val="22"/>
        </w:rPr>
        <w:t>kleiner</w:t>
      </w:r>
      <w:r w:rsidR="00077FF7">
        <w:rPr>
          <w:rFonts w:ascii="Arial" w:hAnsi="Arial"/>
          <w:snapToGrid w:val="0"/>
          <w:sz w:val="22"/>
        </w:rPr>
        <w:t xml:space="preserve"> als 5.000 m³/Jahr</w:t>
      </w:r>
      <w:r w:rsidR="00C44283">
        <w:rPr>
          <w:rFonts w:ascii="Arial" w:hAnsi="Arial"/>
          <w:snapToGrid w:val="0"/>
          <w:sz w:val="22"/>
        </w:rPr>
        <w:t xml:space="preserve"> ist,</w:t>
      </w:r>
      <w:r>
        <w:rPr>
          <w:rFonts w:ascii="Arial" w:hAnsi="Arial"/>
          <w:snapToGrid w:val="0"/>
          <w:sz w:val="22"/>
        </w:rPr>
        <w:t xml:space="preserve"> die auf den nachgewiesenen Bedarf abgestimmte Förderleistung in Liter/Sekunde deutlich kleiner als das MNQ (mittlerer Niedrigwasserabfluss) e</w:t>
      </w:r>
      <w:r>
        <w:rPr>
          <w:rFonts w:ascii="Arial" w:hAnsi="Arial"/>
          <w:snapToGrid w:val="0"/>
          <w:sz w:val="22"/>
        </w:rPr>
        <w:t>i</w:t>
      </w:r>
      <w:r>
        <w:rPr>
          <w:rFonts w:ascii="Arial" w:hAnsi="Arial"/>
          <w:snapToGrid w:val="0"/>
          <w:sz w:val="22"/>
        </w:rPr>
        <w:t xml:space="preserve">nes benachbarten Oberflächengewässers </w:t>
      </w:r>
      <w:r w:rsidR="00C44283">
        <w:rPr>
          <w:rFonts w:ascii="Arial" w:hAnsi="Arial"/>
          <w:snapToGrid w:val="0"/>
          <w:sz w:val="22"/>
        </w:rPr>
        <w:t xml:space="preserve">ist </w:t>
      </w:r>
      <w:r>
        <w:rPr>
          <w:rFonts w:ascii="Arial" w:hAnsi="Arial"/>
          <w:snapToGrid w:val="0"/>
          <w:sz w:val="22"/>
        </w:rPr>
        <w:t>und offensichtlich keine benachba</w:t>
      </w:r>
      <w:r>
        <w:rPr>
          <w:rFonts w:ascii="Arial" w:hAnsi="Arial"/>
          <w:snapToGrid w:val="0"/>
          <w:sz w:val="22"/>
        </w:rPr>
        <w:t>r</w:t>
      </w:r>
      <w:r>
        <w:rPr>
          <w:rFonts w:ascii="Arial" w:hAnsi="Arial"/>
          <w:snapToGrid w:val="0"/>
          <w:sz w:val="22"/>
        </w:rPr>
        <w:t>ten Brunnenanlagen oder eine Lage in einem Wasserschutzgebiet be</w:t>
      </w:r>
      <w:r w:rsidR="00C44283">
        <w:rPr>
          <w:rFonts w:ascii="Arial" w:hAnsi="Arial"/>
          <w:snapToGrid w:val="0"/>
          <w:sz w:val="22"/>
        </w:rPr>
        <w:t>stehen)</w:t>
      </w:r>
      <w:r w:rsidR="00822940">
        <w:rPr>
          <w:rFonts w:ascii="Arial" w:hAnsi="Arial"/>
          <w:snapToGrid w:val="0"/>
          <w:sz w:val="22"/>
        </w:rPr>
        <w:t xml:space="preserve"> </w:t>
      </w:r>
    </w:p>
    <w:p w:rsidR="00DD3B9C" w:rsidRPr="000E7658" w:rsidRDefault="00EA1C03" w:rsidP="00E96A50">
      <w:pPr>
        <w:widowControl w:val="0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jc w:val="both"/>
        <w:rPr>
          <w:rFonts w:ascii="Arial" w:hAnsi="Arial"/>
          <w:snapToGrid w:val="0"/>
          <w:sz w:val="22"/>
        </w:rPr>
      </w:pPr>
      <w:r w:rsidRPr="000E7658">
        <w:rPr>
          <w:rFonts w:ascii="Arial" w:hAnsi="Arial"/>
          <w:snapToGrid w:val="0"/>
          <w:sz w:val="22"/>
        </w:rPr>
        <w:t>Bei Nutzung als Trinkwasserbrunnen ist in geeigneter Weise darzulegen, dass das gewonnene Wasser geeignet und der Wassergewinnungsber</w:t>
      </w:r>
      <w:r w:rsidR="00E96A50">
        <w:rPr>
          <w:rFonts w:ascii="Arial" w:hAnsi="Arial"/>
          <w:snapToGrid w:val="0"/>
          <w:sz w:val="22"/>
        </w:rPr>
        <w:t>eich dauerhaft schutzfähig ist.</w:t>
      </w:r>
    </w:p>
    <w:p w:rsidR="00DD3B9C" w:rsidRDefault="003A76D9" w:rsidP="000E76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ind w:left="720" w:hanging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3</w:t>
      </w:r>
      <w:r w:rsidR="00DD3B9C">
        <w:rPr>
          <w:rFonts w:ascii="Arial" w:hAnsi="Arial"/>
          <w:snapToGrid w:val="0"/>
          <w:sz w:val="22"/>
        </w:rPr>
        <w:t>.</w:t>
      </w:r>
      <w:r w:rsidR="00DD3B9C">
        <w:rPr>
          <w:rFonts w:ascii="Arial" w:hAnsi="Arial"/>
          <w:snapToGrid w:val="0"/>
          <w:sz w:val="22"/>
        </w:rPr>
        <w:tab/>
      </w:r>
      <w:r w:rsidR="00DD3B9C" w:rsidRPr="004E0C12">
        <w:rPr>
          <w:rFonts w:ascii="Arial" w:hAnsi="Arial"/>
          <w:b/>
          <w:snapToGrid w:val="0"/>
          <w:sz w:val="22"/>
        </w:rPr>
        <w:t>Befreiung vom Anschluss- und Benutzungszwang durch den zuständigen Wa</w:t>
      </w:r>
      <w:r w:rsidR="00DD3B9C" w:rsidRPr="004E0C12">
        <w:rPr>
          <w:rFonts w:ascii="Arial" w:hAnsi="Arial"/>
          <w:b/>
          <w:snapToGrid w:val="0"/>
          <w:sz w:val="22"/>
        </w:rPr>
        <w:t>s</w:t>
      </w:r>
      <w:r w:rsidR="00DD3B9C" w:rsidRPr="004E0C12">
        <w:rPr>
          <w:rFonts w:ascii="Arial" w:hAnsi="Arial"/>
          <w:b/>
          <w:snapToGrid w:val="0"/>
          <w:sz w:val="22"/>
        </w:rPr>
        <w:t>serversorgungsträger</w:t>
      </w:r>
    </w:p>
    <w:p w:rsidR="00050306" w:rsidRDefault="003A76D9" w:rsidP="000E76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ind w:left="720" w:hanging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4</w:t>
      </w:r>
      <w:r w:rsidR="00DD3B9C">
        <w:rPr>
          <w:rFonts w:ascii="Arial" w:hAnsi="Arial"/>
          <w:snapToGrid w:val="0"/>
          <w:sz w:val="22"/>
        </w:rPr>
        <w:t>.</w:t>
      </w:r>
      <w:r w:rsidR="00DD3B9C">
        <w:rPr>
          <w:rFonts w:ascii="Arial" w:hAnsi="Arial"/>
          <w:snapToGrid w:val="0"/>
          <w:sz w:val="22"/>
        </w:rPr>
        <w:tab/>
      </w:r>
      <w:r w:rsidR="00DD3B9C" w:rsidRPr="004E0C12">
        <w:rPr>
          <w:rFonts w:ascii="Arial" w:hAnsi="Arial"/>
          <w:b/>
          <w:snapToGrid w:val="0"/>
          <w:sz w:val="22"/>
        </w:rPr>
        <w:t>Einverständniserklärung des Grundstückseigentümers bei Anlagen auf fremden Grundstücken</w:t>
      </w:r>
    </w:p>
    <w:p w:rsidR="00050306" w:rsidRDefault="00050306" w:rsidP="000E76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jc w:val="both"/>
        <w:rPr>
          <w:rFonts w:ascii="Arial" w:hAnsi="Arial"/>
          <w:snapToGrid w:val="0"/>
          <w:sz w:val="22"/>
        </w:rPr>
      </w:pPr>
      <w:r w:rsidRPr="00050306">
        <w:rPr>
          <w:rFonts w:ascii="Arial" w:hAnsi="Arial"/>
          <w:snapToGrid w:val="0"/>
          <w:sz w:val="22"/>
        </w:rPr>
        <w:t>5.</w:t>
      </w:r>
      <w:r w:rsidRPr="00050306">
        <w:rPr>
          <w:rFonts w:ascii="Arial" w:hAnsi="Arial"/>
          <w:b/>
          <w:snapToGrid w:val="0"/>
          <w:sz w:val="22"/>
        </w:rPr>
        <w:tab/>
        <w:t>Fachbeitrag Wasserrahmenrichtlinie</w:t>
      </w:r>
    </w:p>
    <w:p w:rsidR="00DD3B9C" w:rsidRDefault="00050306" w:rsidP="007859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240"/>
        <w:ind w:left="708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Die Auswirkungen auf Gewässerkörper sind hinsichtlich des in der WRRL festgeschri</w:t>
      </w:r>
      <w:r>
        <w:rPr>
          <w:rFonts w:ascii="Arial" w:hAnsi="Arial"/>
          <w:snapToGrid w:val="0"/>
          <w:sz w:val="22"/>
        </w:rPr>
        <w:t>e</w:t>
      </w:r>
      <w:r>
        <w:rPr>
          <w:rFonts w:ascii="Arial" w:hAnsi="Arial"/>
          <w:snapToGrid w:val="0"/>
          <w:sz w:val="22"/>
        </w:rPr>
        <w:t>benen Verschlechterungsverbots sowie des Zielerreichungsgebots darzustellen.</w:t>
      </w:r>
    </w:p>
    <w:p w:rsidR="00E96A50" w:rsidRDefault="00E96A50">
      <w:pPr>
        <w:rPr>
          <w:rFonts w:ascii="Arial" w:hAnsi="Arial"/>
          <w:b/>
          <w:snapToGrid w:val="0"/>
          <w:sz w:val="22"/>
          <w:u w:val="single"/>
        </w:rPr>
      </w:pPr>
      <w:r>
        <w:rPr>
          <w:rFonts w:ascii="Arial" w:hAnsi="Arial"/>
          <w:b/>
          <w:snapToGrid w:val="0"/>
          <w:sz w:val="22"/>
          <w:u w:val="single"/>
        </w:rPr>
        <w:br w:type="page"/>
      </w:r>
    </w:p>
    <w:p w:rsidR="00DD3B9C" w:rsidRPr="004E0C12" w:rsidRDefault="004E0C12" w:rsidP="00E96A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rPr>
          <w:rFonts w:ascii="Arial" w:hAnsi="Arial"/>
          <w:b/>
          <w:snapToGrid w:val="0"/>
          <w:sz w:val="22"/>
          <w:u w:val="single"/>
        </w:rPr>
      </w:pPr>
      <w:bookmarkStart w:id="0" w:name="_GoBack"/>
      <w:bookmarkEnd w:id="0"/>
      <w:r w:rsidRPr="004E0C12">
        <w:rPr>
          <w:rFonts w:ascii="Arial" w:hAnsi="Arial"/>
          <w:b/>
          <w:snapToGrid w:val="0"/>
          <w:sz w:val="22"/>
          <w:u w:val="single"/>
        </w:rPr>
        <w:lastRenderedPageBreak/>
        <w:t>Achtung:</w:t>
      </w:r>
    </w:p>
    <w:p w:rsidR="00E96A50" w:rsidRDefault="007F1C07" w:rsidP="00E96A5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jc w:val="both"/>
        <w:rPr>
          <w:rFonts w:ascii="Arial" w:hAnsi="Arial"/>
          <w:snapToGrid w:val="0"/>
          <w:sz w:val="22"/>
          <w:szCs w:val="22"/>
        </w:rPr>
      </w:pPr>
      <w:r w:rsidRPr="004E0C12">
        <w:rPr>
          <w:rFonts w:ascii="Arial" w:hAnsi="Arial"/>
          <w:snapToGrid w:val="0"/>
          <w:sz w:val="22"/>
          <w:szCs w:val="22"/>
        </w:rPr>
        <w:t>Die Unterlagen sind d</w:t>
      </w:r>
      <w:r w:rsidR="007C3BCA" w:rsidRPr="004E0C12">
        <w:rPr>
          <w:rFonts w:ascii="Arial" w:hAnsi="Arial"/>
          <w:snapToGrid w:val="0"/>
          <w:sz w:val="22"/>
          <w:szCs w:val="22"/>
        </w:rPr>
        <w:t>er Unteren Wasserbehörde</w:t>
      </w:r>
      <w:r w:rsidR="00EA1C03">
        <w:rPr>
          <w:rFonts w:ascii="Arial" w:hAnsi="Arial"/>
          <w:snapToGrid w:val="0"/>
          <w:sz w:val="22"/>
          <w:szCs w:val="22"/>
        </w:rPr>
        <w:t xml:space="preserve"> durch einen nach § 103 LWG zugelassenen Fachplaner </w:t>
      </w:r>
      <w:r w:rsidR="007C3BCA" w:rsidRPr="00E96A50">
        <w:rPr>
          <w:rFonts w:ascii="Arial" w:hAnsi="Arial"/>
          <w:b/>
          <w:snapToGrid w:val="0"/>
          <w:sz w:val="22"/>
          <w:szCs w:val="22"/>
        </w:rPr>
        <w:t>in drei</w:t>
      </w:r>
      <w:r w:rsidRPr="00E96A50">
        <w:rPr>
          <w:rFonts w:ascii="Arial" w:hAnsi="Arial"/>
          <w:b/>
          <w:snapToGrid w:val="0"/>
          <w:sz w:val="22"/>
          <w:szCs w:val="22"/>
        </w:rPr>
        <w:t>f</w:t>
      </w:r>
      <w:r w:rsidR="007C3BCA" w:rsidRPr="00E96A50">
        <w:rPr>
          <w:rFonts w:ascii="Arial" w:hAnsi="Arial"/>
          <w:b/>
          <w:snapToGrid w:val="0"/>
          <w:sz w:val="22"/>
          <w:szCs w:val="22"/>
        </w:rPr>
        <w:t>acher Ausfertigung</w:t>
      </w:r>
      <w:r w:rsidR="007C3BCA" w:rsidRPr="004E0C12">
        <w:rPr>
          <w:rFonts w:ascii="Arial" w:hAnsi="Arial"/>
          <w:snapToGrid w:val="0"/>
          <w:sz w:val="22"/>
          <w:szCs w:val="22"/>
        </w:rPr>
        <w:t xml:space="preserve"> </w:t>
      </w:r>
      <w:r w:rsidR="000E7658">
        <w:rPr>
          <w:rFonts w:ascii="Arial" w:hAnsi="Arial"/>
          <w:snapToGrid w:val="0"/>
          <w:sz w:val="22"/>
          <w:szCs w:val="22"/>
        </w:rPr>
        <w:t xml:space="preserve">analog </w:t>
      </w:r>
      <w:r w:rsidR="00EA1C03">
        <w:rPr>
          <w:rFonts w:ascii="Arial" w:hAnsi="Arial"/>
          <w:snapToGrid w:val="0"/>
          <w:sz w:val="22"/>
          <w:szCs w:val="22"/>
        </w:rPr>
        <w:t xml:space="preserve">vorzulegen. </w:t>
      </w:r>
    </w:p>
    <w:p w:rsidR="000E7658" w:rsidRDefault="000E7658" w:rsidP="00E96A5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spacing w:after="120"/>
        <w:jc w:val="both"/>
        <w:rPr>
          <w:rFonts w:ascii="Arial" w:hAnsi="Arial"/>
          <w:snapToGrid w:val="0"/>
          <w:sz w:val="22"/>
          <w:szCs w:val="22"/>
        </w:rPr>
      </w:pPr>
      <w:r w:rsidRPr="00E96A50">
        <w:rPr>
          <w:rFonts w:ascii="Arial" w:hAnsi="Arial"/>
          <w:b/>
          <w:snapToGrid w:val="0"/>
          <w:sz w:val="22"/>
          <w:szCs w:val="22"/>
        </w:rPr>
        <w:t>Zusätzlich</w:t>
      </w:r>
      <w:r>
        <w:rPr>
          <w:rFonts w:ascii="Arial" w:hAnsi="Arial"/>
          <w:snapToGrid w:val="0"/>
          <w:sz w:val="22"/>
          <w:szCs w:val="22"/>
        </w:rPr>
        <w:t xml:space="preserve"> ist eine </w:t>
      </w:r>
      <w:r w:rsidRPr="00E96A50">
        <w:rPr>
          <w:rFonts w:ascii="Arial" w:hAnsi="Arial"/>
          <w:b/>
          <w:snapToGrid w:val="0"/>
          <w:sz w:val="22"/>
          <w:szCs w:val="22"/>
        </w:rPr>
        <w:t>digitale</w:t>
      </w:r>
      <w:r>
        <w:rPr>
          <w:rFonts w:ascii="Arial" w:hAnsi="Arial"/>
          <w:snapToGrid w:val="0"/>
          <w:sz w:val="22"/>
          <w:szCs w:val="22"/>
        </w:rPr>
        <w:t xml:space="preserve"> Version als PDF an das Postfach </w:t>
      </w:r>
      <w:hyperlink r:id="rId6" w:history="1">
        <w:r w:rsidRPr="00336C18">
          <w:rPr>
            <w:rStyle w:val="Hyperlink"/>
            <w:rFonts w:ascii="Arial" w:hAnsi="Arial"/>
            <w:snapToGrid w:val="0"/>
            <w:sz w:val="22"/>
            <w:szCs w:val="22"/>
          </w:rPr>
          <w:t>Gewaesserbenutzung@kvmyk.de</w:t>
        </w:r>
      </w:hyperlink>
      <w:r>
        <w:rPr>
          <w:rFonts w:ascii="Arial" w:hAnsi="Arial"/>
          <w:snapToGrid w:val="0"/>
          <w:sz w:val="22"/>
          <w:szCs w:val="22"/>
        </w:rPr>
        <w:t xml:space="preserve"> zu senden oder per CD</w:t>
      </w:r>
      <w:r w:rsidR="00312317">
        <w:rPr>
          <w:rFonts w:ascii="Arial" w:hAnsi="Arial"/>
          <w:snapToGrid w:val="0"/>
          <w:sz w:val="22"/>
          <w:szCs w:val="22"/>
        </w:rPr>
        <w:t xml:space="preserve"> (o.Ä.)</w:t>
      </w:r>
      <w:r>
        <w:rPr>
          <w:rFonts w:ascii="Arial" w:hAnsi="Arial"/>
          <w:snapToGrid w:val="0"/>
          <w:sz w:val="22"/>
          <w:szCs w:val="22"/>
        </w:rPr>
        <w:t xml:space="preserve"> der unt</w:t>
      </w:r>
      <w:r>
        <w:rPr>
          <w:rFonts w:ascii="Arial" w:hAnsi="Arial"/>
          <w:snapToGrid w:val="0"/>
          <w:sz w:val="22"/>
          <w:szCs w:val="22"/>
        </w:rPr>
        <w:t>e</w:t>
      </w:r>
      <w:r>
        <w:rPr>
          <w:rFonts w:ascii="Arial" w:hAnsi="Arial"/>
          <w:snapToGrid w:val="0"/>
          <w:sz w:val="22"/>
          <w:szCs w:val="22"/>
        </w:rPr>
        <w:t>ren Wasserbehörde vorzulegen.</w:t>
      </w:r>
    </w:p>
    <w:p w:rsidR="00DD3B9C" w:rsidRPr="00EA1C03" w:rsidRDefault="00951BA8" w:rsidP="000E765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16"/>
        </w:tabs>
        <w:jc w:val="both"/>
        <w:rPr>
          <w:rFonts w:ascii="Arial" w:hAnsi="Arial"/>
          <w:snapToGrid w:val="0"/>
          <w:sz w:val="22"/>
          <w:szCs w:val="22"/>
        </w:rPr>
      </w:pPr>
      <w:r w:rsidRPr="00EA1C03">
        <w:rPr>
          <w:rFonts w:ascii="Arial" w:hAnsi="Arial"/>
          <w:b/>
          <w:snapToGrid w:val="0"/>
          <w:sz w:val="22"/>
        </w:rPr>
        <w:t xml:space="preserve">Informationen, wer als Fachplaner in der Fachgruppe Wasserrecht zugelassen ist, findet man auf der Internetseite </w:t>
      </w:r>
      <w:r w:rsidR="001D7FFD" w:rsidRPr="00EA1C03">
        <w:rPr>
          <w:rFonts w:ascii="Arial" w:hAnsi="Arial"/>
          <w:b/>
          <w:snapToGrid w:val="0"/>
          <w:sz w:val="22"/>
        </w:rPr>
        <w:t xml:space="preserve">(www.ing-rlp.de) </w:t>
      </w:r>
      <w:r w:rsidRPr="00EA1C03">
        <w:rPr>
          <w:rFonts w:ascii="Arial" w:hAnsi="Arial"/>
          <w:b/>
          <w:snapToGrid w:val="0"/>
          <w:sz w:val="22"/>
        </w:rPr>
        <w:t>der Ingenieurkammer Rheinland-Pfalz.</w:t>
      </w:r>
    </w:p>
    <w:sectPr w:rsidR="00DD3B9C" w:rsidRPr="00EA1C03" w:rsidSect="00EA1C03">
      <w:pgSz w:w="11905" w:h="16837"/>
      <w:pgMar w:top="1202" w:right="1247" w:bottom="1134" w:left="1298" w:header="720" w:footer="760" w:gutter="0"/>
      <w:paperSrc w:first="7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1ED"/>
    <w:multiLevelType w:val="hybridMultilevel"/>
    <w:tmpl w:val="42201028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2F617E3"/>
    <w:multiLevelType w:val="singleLevel"/>
    <w:tmpl w:val="13366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5C"/>
    <w:rsid w:val="00050306"/>
    <w:rsid w:val="00077FF7"/>
    <w:rsid w:val="000E7658"/>
    <w:rsid w:val="00115443"/>
    <w:rsid w:val="001D7FFD"/>
    <w:rsid w:val="00312317"/>
    <w:rsid w:val="00366F59"/>
    <w:rsid w:val="003A76D9"/>
    <w:rsid w:val="003F675C"/>
    <w:rsid w:val="0042780B"/>
    <w:rsid w:val="00442448"/>
    <w:rsid w:val="004661E6"/>
    <w:rsid w:val="004E0C12"/>
    <w:rsid w:val="005142A7"/>
    <w:rsid w:val="00520474"/>
    <w:rsid w:val="005A7E2A"/>
    <w:rsid w:val="00605CA7"/>
    <w:rsid w:val="007859D8"/>
    <w:rsid w:val="007C3BCA"/>
    <w:rsid w:val="007F1C07"/>
    <w:rsid w:val="00815010"/>
    <w:rsid w:val="00822940"/>
    <w:rsid w:val="008B09C8"/>
    <w:rsid w:val="008E0211"/>
    <w:rsid w:val="00951BA8"/>
    <w:rsid w:val="00A10EEF"/>
    <w:rsid w:val="00A96850"/>
    <w:rsid w:val="00AD27C9"/>
    <w:rsid w:val="00B972BF"/>
    <w:rsid w:val="00C44283"/>
    <w:rsid w:val="00C63C72"/>
    <w:rsid w:val="00CE7542"/>
    <w:rsid w:val="00CE780C"/>
    <w:rsid w:val="00D060C2"/>
    <w:rsid w:val="00D5040D"/>
    <w:rsid w:val="00D5381F"/>
    <w:rsid w:val="00DD3B9C"/>
    <w:rsid w:val="00E10378"/>
    <w:rsid w:val="00E44CB7"/>
    <w:rsid w:val="00E726B4"/>
    <w:rsid w:val="00E87484"/>
    <w:rsid w:val="00E96A50"/>
    <w:rsid w:val="00EA1C03"/>
    <w:rsid w:val="00ED4723"/>
    <w:rsid w:val="00F84345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216"/>
      </w:tabs>
      <w:jc w:val="center"/>
    </w:pPr>
    <w:rPr>
      <w:rFonts w:ascii="Arial" w:hAnsi="Arial"/>
      <w:snapToGrid w:val="0"/>
      <w:sz w:val="22"/>
      <w:u w:val="single"/>
    </w:rPr>
  </w:style>
  <w:style w:type="character" w:styleId="Hyperlink">
    <w:name w:val="Hyperlink"/>
    <w:basedOn w:val="Absatz-Standardschriftart"/>
    <w:rsid w:val="001D7FF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A1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216"/>
      </w:tabs>
      <w:jc w:val="center"/>
    </w:pPr>
    <w:rPr>
      <w:rFonts w:ascii="Arial" w:hAnsi="Arial"/>
      <w:snapToGrid w:val="0"/>
      <w:sz w:val="22"/>
      <w:u w:val="single"/>
    </w:rPr>
  </w:style>
  <w:style w:type="character" w:styleId="Hyperlink">
    <w:name w:val="Hyperlink"/>
    <w:basedOn w:val="Absatz-Standardschriftart"/>
    <w:rsid w:val="001D7FF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A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waesserbenutzung@kvmy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Kreisverwaltung Mayen-Koblenz</vt:lpstr>
    </vt:vector>
  </TitlesOfParts>
  <Company>Kreisverwaltung Mayen-Koblenz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Kreisverwaltung Mayen-Koblenz</dc:title>
  <dc:creator>Martin Schmitt</dc:creator>
  <cp:lastModifiedBy>Sebastian Wüst</cp:lastModifiedBy>
  <cp:revision>12</cp:revision>
  <cp:lastPrinted>2015-09-03T11:53:00Z</cp:lastPrinted>
  <dcterms:created xsi:type="dcterms:W3CDTF">2017-01-20T12:32:00Z</dcterms:created>
  <dcterms:modified xsi:type="dcterms:W3CDTF">2021-09-21T05:57:00Z</dcterms:modified>
</cp:coreProperties>
</file>